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F9305" w14:textId="7AC7A785" w:rsidR="008E40A6" w:rsidRPr="008E40A6" w:rsidRDefault="008E40A6" w:rsidP="008E40A6">
      <w:pPr>
        <w:pStyle w:val="Akapitzlist"/>
        <w:ind w:left="142"/>
        <w:jc w:val="right"/>
        <w:rPr>
          <w:rFonts w:asciiTheme="minorHAnsi" w:hAnsiTheme="minorHAnsi" w:cstheme="minorHAnsi"/>
          <w:bCs/>
          <w:sz w:val="18"/>
        </w:rPr>
      </w:pPr>
      <w:r w:rsidRPr="008E40A6">
        <w:rPr>
          <w:rFonts w:asciiTheme="minorHAnsi" w:hAnsiTheme="minorHAnsi" w:cstheme="minorHAnsi"/>
          <w:bCs/>
          <w:sz w:val="18"/>
        </w:rPr>
        <w:t>Załą</w:t>
      </w:r>
      <w:r w:rsidR="008A7959">
        <w:rPr>
          <w:rFonts w:asciiTheme="minorHAnsi" w:hAnsiTheme="minorHAnsi" w:cstheme="minorHAnsi"/>
          <w:bCs/>
          <w:sz w:val="18"/>
        </w:rPr>
        <w:t>cznik nr 3</w:t>
      </w:r>
      <w:r w:rsidRPr="008E40A6">
        <w:rPr>
          <w:rFonts w:asciiTheme="minorHAnsi" w:hAnsiTheme="minorHAnsi" w:cstheme="minorHAnsi"/>
          <w:bCs/>
          <w:sz w:val="18"/>
        </w:rPr>
        <w:t xml:space="preserve"> do Regulaminu wyboru projektu</w:t>
      </w:r>
      <w:r w:rsidRPr="008E40A6">
        <w:rPr>
          <w:rFonts w:asciiTheme="minorHAnsi" w:hAnsiTheme="minorHAnsi" w:cstheme="minorHAnsi"/>
          <w:bCs/>
          <w:sz w:val="18"/>
        </w:rPr>
        <w:br/>
        <w:t>w ramach naboru nr FEWM.04.01-IZ.00-002/24</w:t>
      </w:r>
    </w:p>
    <w:p w14:paraId="0A3E640F" w14:textId="437FF94A" w:rsidR="00D62E25" w:rsidRDefault="008E40A6" w:rsidP="008E40A6">
      <w:pPr>
        <w:pStyle w:val="Akapitzlist"/>
        <w:ind w:left="142"/>
        <w:jc w:val="right"/>
        <w:rPr>
          <w:rFonts w:asciiTheme="minorHAnsi" w:hAnsiTheme="minorHAnsi" w:cstheme="minorHAnsi"/>
          <w:bCs/>
          <w:sz w:val="18"/>
          <w:szCs w:val="24"/>
        </w:rPr>
      </w:pPr>
      <w:r w:rsidRPr="008E40A6">
        <w:rPr>
          <w:rFonts w:asciiTheme="minorHAnsi" w:hAnsiTheme="minorHAnsi" w:cstheme="minorHAnsi"/>
          <w:bCs/>
          <w:sz w:val="18"/>
          <w:szCs w:val="24"/>
        </w:rPr>
        <w:t>z …………………………2024 r.</w:t>
      </w:r>
    </w:p>
    <w:p w14:paraId="1F8B5ADC" w14:textId="12BB6EFD" w:rsidR="008E40A6" w:rsidRDefault="008E40A6" w:rsidP="008E40A6">
      <w:pPr>
        <w:pStyle w:val="Akapitzlist"/>
        <w:ind w:left="142"/>
        <w:jc w:val="right"/>
        <w:rPr>
          <w:rFonts w:asciiTheme="minorHAnsi" w:hAnsiTheme="minorHAnsi" w:cstheme="minorHAnsi"/>
          <w:bCs/>
          <w:sz w:val="18"/>
          <w:szCs w:val="24"/>
        </w:rPr>
      </w:pPr>
    </w:p>
    <w:p w14:paraId="3B9DA7C4" w14:textId="77777777" w:rsidR="008E40A6" w:rsidRDefault="008E40A6" w:rsidP="008E40A6">
      <w:pPr>
        <w:pStyle w:val="Akapitzlist"/>
        <w:ind w:left="142"/>
        <w:jc w:val="right"/>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3FCA51B3"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CD034A">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4D3F49"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52E2298F"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CD034A">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4AE5EEC6"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CD034A">
              <w:rPr>
                <w:sz w:val="18"/>
                <w:szCs w:val="18"/>
              </w:rPr>
              <w:t>p</w:t>
            </w:r>
            <w:bookmarkStart w:id="8" w:name="_GoBack"/>
            <w:bookmarkEnd w:id="8"/>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 xml:space="preserve">potwierdzona odpowiednią pieczątką podmiotu </w:t>
            </w:r>
            <w:r w:rsidR="001B6751">
              <w:rPr>
                <w:rFonts w:asciiTheme="minorHAnsi" w:hAnsiTheme="minorHAnsi" w:cstheme="minorHAnsi"/>
                <w:bCs/>
                <w:sz w:val="18"/>
                <w:szCs w:val="18"/>
              </w:rPr>
              <w:lastRenderedPageBreak/>
              <w:t>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4D3F49"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lastRenderedPageBreak/>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kwalifikowanym </w:t>
            </w:r>
            <w:r w:rsidRPr="005B5DE6">
              <w:rPr>
                <w:sz w:val="18"/>
                <w:szCs w:val="18"/>
              </w:rPr>
              <w:lastRenderedPageBreak/>
              <w:t>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w:t>
            </w:r>
            <w:r w:rsidRPr="005B5DE6">
              <w:rPr>
                <w:sz w:val="18"/>
                <w:szCs w:val="18"/>
              </w:rPr>
              <w:lastRenderedPageBreak/>
              <w:t xml:space="preserve">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D3F4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D3F49">
        <w:rPr>
          <w:rFonts w:ascii="Arial" w:hAnsi="Arial" w:cs="Arial"/>
        </w:rPr>
      </w:r>
      <w:r w:rsidR="004D3F4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4D3F49"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D3F49">
        <w:rPr>
          <w:rFonts w:ascii="Arial" w:eastAsia="TimesNewRoman" w:hAnsi="Arial" w:cs="Arial"/>
          <w:sz w:val="22"/>
          <w:szCs w:val="22"/>
        </w:rPr>
      </w:r>
      <w:r w:rsidR="004D3F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B0594" w14:textId="77777777" w:rsidR="004D3F49" w:rsidRDefault="004D3F49">
      <w:r>
        <w:separator/>
      </w:r>
    </w:p>
  </w:endnote>
  <w:endnote w:type="continuationSeparator" w:id="0">
    <w:p w14:paraId="5DA4861D" w14:textId="77777777" w:rsidR="004D3F49" w:rsidRDefault="004D3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B7C91A4"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D034A">
          <w:rPr>
            <w:rFonts w:asciiTheme="minorHAnsi" w:hAnsiTheme="minorHAnsi" w:cstheme="minorHAnsi"/>
            <w:noProof/>
          </w:rPr>
          <w:t>10</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F989D" w14:textId="77777777" w:rsidR="004D3F49" w:rsidRDefault="004D3F49">
      <w:r>
        <w:separator/>
      </w:r>
    </w:p>
  </w:footnote>
  <w:footnote w:type="continuationSeparator" w:id="0">
    <w:p w14:paraId="00E0386D" w14:textId="77777777" w:rsidR="004D3F49" w:rsidRDefault="004D3F49">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3F49"/>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E7E66"/>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959"/>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0A6"/>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34A"/>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A2310-67C2-43F9-B2CC-D4AE008F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13127</Words>
  <Characters>78765</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10</cp:revision>
  <cp:lastPrinted>2024-02-13T09:42:00Z</cp:lastPrinted>
  <dcterms:created xsi:type="dcterms:W3CDTF">2024-02-06T08:23:00Z</dcterms:created>
  <dcterms:modified xsi:type="dcterms:W3CDTF">2024-02-13T12:34:00Z</dcterms:modified>
</cp:coreProperties>
</file>